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8"/>
              <w:szCs w:val="48"/>
              <w:u w:val="none"/>
              <w:shd w:fill="auto" w:val="clear"/>
              <w:vertAlign w:val="baseline"/>
              <w:rtl w:val="0"/>
            </w:rPr>
            <w:t xml:space="preserve">Disaster Response Resources: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Emergency Response Overview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 Guide to Risk Management of Cultural Heritage,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IICROM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highlight w:val="white"/>
              <w:u w:val="none"/>
              <w:vertAlign w:val="baseline"/>
            </w:rPr>
          </w:pPr>
          <w:hyperlink r:id="rId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www.iccrom.org/wp-content/uploads/Guide-to-Risk-Managment_English.pdf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 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Alliance for Response 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</w:rPr>
          </w:pPr>
          <w:hyperlink r:id="rId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www.culturalheritage.org/resources/emergencies/alliance-for-response-home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Emergency Planning,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American Alliance of Museums (AAM)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</w:rPr>
          </w:pPr>
          <w:hyperlink r:id="rId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https://www.aam-us.org/programs/ethics-standards-and-professional-practices/disaster- preparedness-and-emergency-response-plan/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Emergency Guide and Programs,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American Institute for Conservation (AIC)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HYPERLINK "https://www.culturalheritage.org/resources/emergencies"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https://www.culturalheritage.org/resources/emergencies 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Field Guide to Emergency Response Videos,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American Institute for Conservation (AIC)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YouTube </w:t>
          </w:r>
          <w:hyperlink r:id="rId1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https://youtu.be/jiSCr4HaaN0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How-to Videos, Archives Society of Alberta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http://archivesalberta.org/programs-and-services/disaster-preparedness-and-recovery/how-to-videos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Conserve-o-Grams, National Park Service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https://www.nps.gov/museum/publications/conserveogram/cons_toc.html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Disaster Preparedness and Response Wiki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American Institute for Conservation, (AIC)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1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http://www.conservation-wiki.com/wiki/Emergency_Preparedness_%26_Response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A comprehensive site covering disaster planning, salvage and recovery. 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Disaster Plans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Conservation Online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http://cool.conservation-us.org/bytopic/disasters/plans/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Links to institutional disaster plans.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b w:val="1"/>
              <w:rtl w:val="0"/>
            </w:rPr>
            <w:t xml:space="preserve">D-plan </w:t>
          </w:r>
          <w:r w:rsidDel="00000000" w:rsidR="00000000" w:rsidRPr="00000000">
            <w:rPr>
              <w:rtl w:val="0"/>
            </w:rPr>
            <w:t xml:space="preserve">The Online Disaster-Planning Tool for Cultural and Civic Institutions </w:t>
          </w:r>
          <w:hyperlink r:id="rId1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https://www.dplan.org/</w:t>
            </w:r>
          </w:hyperlink>
          <w:r w:rsidDel="00000000" w:rsidR="00000000" w:rsidRPr="00000000">
            <w:rPr>
              <w:rtl w:val="0"/>
            </w:rPr>
            <w:t xml:space="preserve"> 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(Preformatted, online disaster-planning template for download and local use. Templates prepared by the </w:t>
          </w:r>
          <w:r w:rsidDel="00000000" w:rsidR="00000000" w:rsidRPr="00000000">
            <w:rPr>
              <w:rtl w:val="0"/>
            </w:rPr>
            <w:t xml:space="preserve">Northeast Document Conservation Center (NEDCC)</w:t>
          </w:r>
          <w:r w:rsidDel="00000000" w:rsidR="00000000" w:rsidRPr="00000000">
            <w:rPr>
              <w:rtl w:val="0"/>
            </w:rPr>
            <w:t xml:space="preserve">and the </w:t>
          </w:r>
          <w:r w:rsidDel="00000000" w:rsidR="00000000" w:rsidRPr="00000000">
            <w:rPr>
              <w:rtl w:val="0"/>
            </w:rPr>
            <w:t xml:space="preserve">Massachusetts Board of Library Commissioners</w:t>
          </w:r>
          <w:r w:rsidDel="00000000" w:rsidR="00000000" w:rsidRPr="00000000">
            <w:rPr>
              <w:rtl w:val="0"/>
            </w:rPr>
            <w:t xml:space="preserve">(MBLC). The development of the template was funded by the </w:t>
          </w:r>
          <w:r w:rsidDel="00000000" w:rsidR="00000000" w:rsidRPr="00000000">
            <w:rPr>
              <w:rtl w:val="0"/>
            </w:rPr>
            <w:t xml:space="preserve">Institute of Museum and Library Services (IMLS)</w:t>
          </w:r>
          <w:r w:rsidDel="00000000" w:rsidR="00000000" w:rsidRPr="00000000">
            <w:rPr>
              <w:rtl w:val="0"/>
            </w:rPr>
            <w:t xml:space="preserve"> and the </w:t>
          </w:r>
          <w:r w:rsidDel="00000000" w:rsidR="00000000" w:rsidRPr="00000000">
            <w:rPr>
              <w:rtl w:val="0"/>
            </w:rPr>
            <w:t xml:space="preserve">National Center for Preservation Technology and Training (NCPTT)</w:t>
          </w:r>
          <w:r w:rsidDel="00000000" w:rsidR="00000000" w:rsidRPr="00000000">
            <w:rPr>
              <w:rtl w:val="0"/>
            </w:rPr>
            <w:t xml:space="preserve">.)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Emergency Preparedness,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Library of Congress (LOC)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</w:rPr>
          </w:pPr>
          <w:hyperlink r:id="rId1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http://www.loc.gov/preservation/emergprep/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Records Emergencies,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National Archives and Records Administration (NARA)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</w:rPr>
          </w:pPr>
          <w:hyperlink r:id="rId1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https://www.archives.gov/preservation/records-emergency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Emergency Preparedness,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Northeast Document Conservation Center (NEDCC)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https://www.nedcc.org/preservation101/session-8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Museum SOS 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hyperlink r:id="rId1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http://www.museum-sos.org/htm/index.html</w:t>
            </w:r>
          </w:hyperlink>
          <w:r w:rsidDel="00000000" w:rsidR="00000000" w:rsidRPr="00000000">
            <w:rPr>
              <w:rtl w:val="0"/>
            </w:rPr>
            <w:t xml:space="preserve"> 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 FORM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hyperlink r:id="rId2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https://www.statearchivists.org/programs/emergency-preparedness/emergency-preparedness-resources/pocket-response-plantm-prep-tm-english-template/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Smithsonian Cultural Rescue Initiative Resources (SCRI)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1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hyperlink>
          <w:hyperlink r:id="rId2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https://culturalrescue.si.edu/resources2/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0b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Salvage by Material Type</w:t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Archival Collections</w:t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Salvage Operations for Water Damaged Archival Collections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Canadian Council of Archives, 2003  </w:t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http://www.cdncouncilarchives.ca/salvage_en.pdf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Salvage at a Glance Part II: Non-Paper Based Archival Collections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National Park Service</w:t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https://www.nps.gov/museum/publications/conserveogram/21-05.pdf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Books and Paper</w:t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What to do if Collections Get Wet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Library of Congress</w:t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hyperlink r:id="rId2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http://www.loc.gov/preservation/emergprep/dry.html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Salvaging Library and Archives Collections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British Library Preservation Advisory Center</w:t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https://www.bl.uk/britishlibrary/~/media/bl/global/conservation/pdf-guides/salvaging-library-and-archive-collections-preservation-guide.pdf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 PDF document outlining salvage of library and archive collections.  Chapters include: health and safety, preparing the salvage operation, moving damaged items, drying and stabilization, and smoke and fire damage.</w:t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Freezing and Drying Wet Books and Records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Northeast Document Conservation Center (NEDCC)</w:t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https://www.nedcc.org/free-resources/preservation-leaflets/3.-emergency-management/3.12-freezing-and-drying-wet-books-and-records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Furniture and Wood</w:t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Stabilizing Wet Furniture and Wood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American Institute for Conservation, (AIC)</w:t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http://www.conservation-wiki.com/wiki/Stabilizing_Wet_Furniture_and_Wood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Inorganic Materials </w:t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Stabilizing Wet Inorganic Materials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American Institute for Conservation, (AIC)</w:t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http://www.conservation-wiki.com/wiki/Stabilizing_Wet_Inorganic_Materials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Leather</w:t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Stabilizing Wet Skin and Leather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American Institute for Conservation, (AIC)</w:t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hyperlink r:id="rId3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http://www.conservation-wiki.com/wiki/Stabilizing_Wet_Skin_and_Leather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Metals</w:t>
          </w:r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4"/>
      </w:sdtPr>
      <w:sdtContent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Paintings</w:t>
          </w:r>
        </w:p>
      </w:sdtContent>
    </w:sdt>
    <w:sdt>
      <w:sdtPr>
        <w:tag w:val="goog_rdk_96"/>
      </w:sdtPr>
      <w:sdtContent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Stabilizing Wet Paintings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American Institute for Conservation, (AIC)</w:t>
          </w:r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http://www.conservation-wiki.com/wiki/Stabilizing_Wet_Paintings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Photographs</w:t>
          </w:r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2"/>
      </w:sdtPr>
      <w:sdtContent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Emergency Salvage of Wet Photographs,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Northeast Document Conservation Center (NEDCC)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hyperlink r:id="rId3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https://www.nedcc.org/free-resources/preservation-leaflets/3.-emergency-management/3.7-emergency-salvage-of-wet-photographs</w:t>
            </w:r>
          </w:hyperlink>
          <w:r w:rsidDel="00000000" w:rsidR="00000000" w:rsidRPr="00000000">
            <w:fldChar w:fldCharType="begin"/>
            <w:instrText xml:space="preserve"> HYPERLINK "https://www.nedcc.org/assets/media/documents/Preservation%20Leaflets/5_3_CarePhotographs.pdf" </w:instrText>
            <w:fldChar w:fldCharType="separate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Textiles</w:t>
          </w:r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7"/>
      </w:sdtPr>
      <w:sdtContent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Salvage at a Glance Part V: Textiles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National Park Service</w:t>
          </w:r>
        </w:p>
      </w:sdtContent>
    </w:sdt>
    <w:sdt>
      <w:sdtPr>
        <w:tag w:val="goog_rdk_108"/>
      </w:sdtPr>
      <w:sdtContent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HYPERLINK "https://www.nps.gov/museum/publications/conserveogram/21-08.pdf"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https://www.nps.gov/museum/publications/conserveogram/21-08.pdf</w:t>
          </w:r>
        </w:p>
      </w:sdtContent>
    </w:sdt>
    <w:sdt>
      <w:sdtPr>
        <w:tag w:val="goog_rdk_109"/>
      </w:sdtPr>
      <w:sdtContent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Objects</w:t>
          </w:r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2"/>
      </w:sdtPr>
      <w:sdtContent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Salvage at a Glance Part III: Object Collections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National Park Service</w:t>
          </w:r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https://www.nps.gov/museum/publications/conserveogram/21-06.pdf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4"/>
      </w:sdtPr>
      <w:sdtContent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Integrated Pest Management</w:t>
          </w:r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Integrated Pest Management,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Northeast Document Conservation Center (NEDCC)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https://www.nedcc.org/assets/media/documents/Preservation%20Leaflets/3_10_pests_2018.pdf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0"/>
      </w:sdtPr>
      <w:sdtContent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Mold</w:t>
          </w:r>
        </w:p>
      </w:sdtContent>
    </w:sdt>
    <w:sdt>
      <w:sdtPr>
        <w:tag w:val="goog_rdk_122"/>
      </w:sdtPr>
      <w:sdtContent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563c1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Mould Prevention and Collection Recovery: Guidelines for Heritage Collections </w:t>
          </w:r>
          <w:hyperlink r:id="rId3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http://publications.gc.ca/collections/collection_2016/pch/NM95-55-26-2004-eng.pdf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4"/>
      </w:sdtPr>
      <w:sdtContent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Guild, S., and M. MacDonald.  Technical Bulletin 26. Ottawa, ON: Canadian Conservation Institute, 2007.</w:t>
          </w:r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6"/>
      </w:sdtPr>
      <w:sdtContent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Publications</w:t>
          </w:r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“The Field Guide to Emergency Response,” Heritage Preservation, 2006.</w:t>
          </w:r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“Emergency Response and Salvage Wheel” American Institute for Conservation</w:t>
          </w:r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111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“Implementing the Incident Command System at the Institutional Level: A Handbook for Libraries, Archives, Museums, and other Cultural Institutions” by David Carmichael, 2017.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“Help! A Survivor’s Guide to Emergency Preparedness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”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by Ball, C., and A. Yardley-Jones. Edmonton, AB: Museums Alberta, 2001.</w:t>
          </w:r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Dorge, Valerie, and Sharon L. Jones. 1999. 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Building an Emergency Plan: A Guide for Museums and Other Cultural Institutions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. Los Angeles, CA: Getty Conservation Institute. http://hdl.handle.net/10020/gci_pubs/emergency_english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3"/>
      </w:sdtPr>
      <w:sdtContent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32"/>
              <w:szCs w:val="32"/>
            </w:rPr>
          </w:pPr>
          <w:r w:rsidDel="00000000" w:rsidR="00000000" w:rsidRPr="00000000">
            <w:rPr>
              <w:sz w:val="32"/>
              <w:szCs w:val="32"/>
              <w:rtl w:val="0"/>
            </w:rPr>
            <w:t xml:space="preserve">Preparedness &amp; Planning</w:t>
          </w:r>
        </w:p>
      </w:sdtContent>
    </w:sdt>
    <w:sdt>
      <w:sdtPr>
        <w:tag w:val="goog_rdk_135"/>
      </w:sdtPr>
      <w:sdtContent>
        <w:p w:rsidR="00000000" w:rsidDel="00000000" w:rsidP="00000000" w:rsidRDefault="00000000" w:rsidRPr="00000000" w14:paraId="00000088">
          <w:pPr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  <w:t xml:space="preserve">Lockshin, N. (2019, May 2). Protection of Collections during Retrofit or Renovation. Retrieved June 5, 2019, from Smithsonian Institution Archives website:</w:t>
          </w:r>
          <w:r w:rsidDel="00000000" w:rsidR="00000000" w:rsidRPr="00000000">
            <w:fldChar w:fldCharType="begin"/>
            <w:instrText xml:space="preserve"> HYPERLINK "https://siarchives.si.edu/blog/protection-collections-during-retrofit-or-renovation" </w:instrText>
            <w:fldChar w:fldCharType="separate"/>
          </w:r>
          <w:r w:rsidDel="00000000" w:rsidR="00000000" w:rsidRPr="00000000">
            <w:rPr>
              <w:color w:val="1155cc"/>
              <w:u w:val="single"/>
              <w:rtl w:val="0"/>
            </w:rPr>
            <w:t xml:space="preserve"> https://siarchives.si.edu/blog/protection-collections-during-retrofit-or-renovation</w:t>
          </w:r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089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7"/>
      </w:sdtPr>
      <w:sdtContent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32"/>
              <w:szCs w:val="32"/>
            </w:rPr>
          </w:pPr>
          <w:r w:rsidDel="00000000" w:rsidR="00000000" w:rsidRPr="00000000">
            <w:rPr>
              <w:sz w:val="32"/>
              <w:szCs w:val="32"/>
              <w:rtl w:val="0"/>
            </w:rPr>
            <w:t xml:space="preserve">Fire - research &amp; recovery</w:t>
          </w:r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08B">
          <w:pPr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  <w:t xml:space="preserve">Lockshin, N. (2018, October 30). Facing our Fears. Retrieved June 5, 2019, from Smithsonian Institution Archives website:</w:t>
          </w:r>
          <w:r w:rsidDel="00000000" w:rsidR="00000000" w:rsidRPr="00000000">
            <w:fldChar w:fldCharType="begin"/>
            <w:instrText xml:space="preserve"> HYPERLINK "https://siarchives.si.edu/blog/facing-our-fears" </w:instrText>
            <w:fldChar w:fldCharType="separate"/>
          </w:r>
          <w:r w:rsidDel="00000000" w:rsidR="00000000" w:rsidRPr="00000000">
            <w:rPr>
              <w:color w:val="1155cc"/>
              <w:u w:val="single"/>
              <w:rtl w:val="0"/>
            </w:rPr>
            <w:t xml:space="preserve"> https://siarchives.si.edu/blog/facing-our-fears</w:t>
          </w:r>
        </w:p>
      </w:sdtContent>
    </w:sdt>
    <w:sdt>
      <w:sdtPr>
        <w:tag w:val="goog_rdk_139"/>
      </w:sdtPr>
      <w:sdtContent>
        <w:p w:rsidR="00000000" w:rsidDel="00000000" w:rsidP="00000000" w:rsidRDefault="00000000" w:rsidRPr="00000000" w14:paraId="0000008C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Benfer, M. E., Scheffey, J. L., Forssell, E. W., &amp; Williams, E. (November 2016). Impact of Fire Extinguisher Agents on Cultural Resource Materials. 139. </w:t>
          </w:r>
          <w:hyperlink r:id="rId3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https://www.nfpa.org/-/media/Files/News-and-Research/Fire-statistics-and-reports/Suppression/RFCulturalResources.ashx?la=en</w:t>
            </w:r>
          </w:hyperlink>
          <w:r w:rsidDel="00000000" w:rsidR="00000000" w:rsidRPr="00000000">
            <w:rPr>
              <w:rtl w:val="0"/>
            </w:rPr>
            <w:t xml:space="preserve"> </w:t>
          </w:r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08D">
          <w:pPr>
            <w:rPr>
              <w:sz w:val="32"/>
              <w:szCs w:val="32"/>
            </w:rPr>
          </w:pPr>
          <w:r w:rsidDel="00000000" w:rsidR="00000000" w:rsidRPr="00000000">
            <w:rPr>
              <w:rtl w:val="0"/>
            </w:rPr>
            <w:t xml:space="preserve">Leikach, D. C. (2007). An Assessment of the Use of Flame Retardant Plastics for Museum Applications (Thesis). Retrieved from </w:t>
          </w:r>
          <w:hyperlink r:id="rId3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http://drum.lib.umd.edu/handle/1903/7824</w:t>
            </w:r>
          </w:hyperlink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Outside Vendors</w:t>
          </w:r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Belfor</w:t>
          </w:r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https://www.belfor.com/en/us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5"/>
      </w:sdtPr>
      <w:sdtContent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6"/>
      </w:sdtPr>
      <w:sdtContent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Polygon</w:t>
          </w:r>
        </w:p>
      </w:sdtContent>
    </w:sdt>
    <w:sdt>
      <w:sdtPr>
        <w:tag w:val="goog_rdk_147"/>
      </w:sdtPr>
      <w:sdtContent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https://www.polygongroup.com/en-US/services/document-recovery-solutions/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8"/>
      </w:sdtPr>
      <w:sdtContent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9"/>
      </w:sdtPr>
      <w:sdtContent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BMS CAT</w:t>
          </w:r>
        </w:p>
      </w:sdtContent>
    </w:sdt>
    <w:sdt>
      <w:sdtPr>
        <w:tag w:val="goog_rdk_150"/>
      </w:sdtPr>
      <w:sdtContent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4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https://www.bmscat.com/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1"/>
      </w:sdtPr>
      <w:sdtContent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2"/>
      </w:sdtPr>
      <w:sdtContent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Mapping</w:t>
          </w:r>
        </w:p>
      </w:sdtContent>
    </w:sdt>
    <w:sdt>
      <w:sdtPr>
        <w:tag w:val="goog_rdk_153"/>
      </w:sdtPr>
      <w:sdtContent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4"/>
      </w:sdtPr>
      <w:sdtContent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Google Maps</w:t>
          </w:r>
        </w:p>
      </w:sdtContent>
    </w:sdt>
    <w:sdt>
      <w:sdtPr>
        <w:tag w:val="goog_rdk_155"/>
      </w:sdtPr>
      <w:sdtContent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4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https://www.google.com/maps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6"/>
      </w:sdtPr>
      <w:sdtContent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7"/>
      </w:sdtPr>
      <w:sdtContent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Flood Map Water Level Elevation Map</w:t>
          </w:r>
        </w:p>
      </w:sdtContent>
    </w:sdt>
    <w:sdt>
      <w:sdtPr>
        <w:tag w:val="goog_rdk_158"/>
      </w:sdtPr>
      <w:sdtContent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4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http://www.floodmap.net/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9"/>
      </w:sdtPr>
      <w:sdtContent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06B4"/>
    <w:pPr>
      <w:spacing w:after="200" w:line="276" w:lineRule="auto"/>
    </w:pPr>
    <w:rPr>
      <w:rFonts w:ascii="Calibri" w:cs="Times New Roman" w:eastAsia="Calibri" w:hAnsi="Calibri"/>
    </w:rPr>
  </w:style>
  <w:style w:type="paragraph" w:styleId="Heading1">
    <w:name w:val="heading 1"/>
    <w:basedOn w:val="Normal"/>
    <w:link w:val="Heading1Char"/>
    <w:uiPriority w:val="9"/>
    <w:qFormat w:val="1"/>
    <w:rsid w:val="000503CE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A24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5BAC"/>
    <w:pPr>
      <w:spacing w:after="0" w:line="240" w:lineRule="auto"/>
    </w:pPr>
    <w:rPr>
      <w:rFonts w:ascii="Segoe UI" w:cs="Segoe UI" w:hAnsi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5BAC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407DA3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0503CE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-size-extra-large" w:customStyle="1">
    <w:name w:val="a-size-extra-large"/>
    <w:basedOn w:val="DefaultParagraphFont"/>
    <w:rsid w:val="000503CE"/>
  </w:style>
  <w:style w:type="character" w:styleId="normaltextrun" w:customStyle="1">
    <w:name w:val="normaltextrun"/>
    <w:basedOn w:val="DefaultParagraphFont"/>
    <w:rsid w:val="002710EA"/>
  </w:style>
  <w:style w:type="character" w:styleId="apple-converted-space" w:customStyle="1">
    <w:name w:val="apple-converted-space"/>
    <w:basedOn w:val="DefaultParagraphFont"/>
    <w:rsid w:val="002710EA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2710EA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2710EA"/>
    <w:rPr>
      <w:color w:val="605e5c"/>
      <w:shd w:color="auto" w:fill="e1dfdd" w:val="clear"/>
    </w:rPr>
  </w:style>
  <w:style w:type="character" w:styleId="spellingerror" w:customStyle="1">
    <w:name w:val="spellingerror"/>
    <w:basedOn w:val="DefaultParagraphFont"/>
    <w:rsid w:val="00C10C30"/>
  </w:style>
  <w:style w:type="paragraph" w:styleId="paragraph" w:customStyle="1">
    <w:name w:val="paragraph"/>
    <w:basedOn w:val="Normal"/>
    <w:rsid w:val="00C10C3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C10C30"/>
  </w:style>
  <w:style w:type="paragraph" w:styleId="NormalWeb">
    <w:name w:val="Normal (Web)"/>
    <w:basedOn w:val="Normal"/>
    <w:uiPriority w:val="99"/>
    <w:unhideWhenUsed w:val="1"/>
    <w:rsid w:val="00C10C3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CD18E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bmscat.com/" TargetMode="External"/><Relationship Id="rId20" Type="http://schemas.openxmlformats.org/officeDocument/2006/relationships/hyperlink" Target="https://www.statearchivists.org/programs/emergency-preparedness/emergency-preparedness-resources/pocket-response-plantm-prep-tm-english-template/" TargetMode="External"/><Relationship Id="rId42" Type="http://schemas.openxmlformats.org/officeDocument/2006/relationships/hyperlink" Target="http://www.floodmap.net/" TargetMode="External"/><Relationship Id="rId41" Type="http://schemas.openxmlformats.org/officeDocument/2006/relationships/hyperlink" Target="https://www.google.com/maps" TargetMode="External"/><Relationship Id="rId22" Type="http://schemas.openxmlformats.org/officeDocument/2006/relationships/hyperlink" Target="https://culturalrescue.si.edu/resources2/" TargetMode="External"/><Relationship Id="rId21" Type="http://schemas.openxmlformats.org/officeDocument/2006/relationships/hyperlink" Target="https://culturalrescue.si.edu/resources2/" TargetMode="External"/><Relationship Id="rId24" Type="http://schemas.openxmlformats.org/officeDocument/2006/relationships/hyperlink" Target="https://www.nps.gov/museum/publications/conserveogram/21-05.pdf" TargetMode="External"/><Relationship Id="rId23" Type="http://schemas.openxmlformats.org/officeDocument/2006/relationships/hyperlink" Target="http://www.cdncouncilarchives.ca/salvage_e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am-us.org/programs/ethics-standards-and-professional-practices/disaster-%20preparedness-and-emergency-response-plan/" TargetMode="External"/><Relationship Id="rId26" Type="http://schemas.openxmlformats.org/officeDocument/2006/relationships/hyperlink" Target="https://www.bl.uk/britishlibrary/~/media/bl/global/conservation/pdf-guides/salvaging-library-and-archive-collections-preservation-guide.pdf" TargetMode="External"/><Relationship Id="rId25" Type="http://schemas.openxmlformats.org/officeDocument/2006/relationships/hyperlink" Target="http://www.loc.gov/preservation/emergprep/dry.html" TargetMode="External"/><Relationship Id="rId28" Type="http://schemas.openxmlformats.org/officeDocument/2006/relationships/hyperlink" Target="http://www.conservation-wiki.com/wiki/Stabilizing_Wet_Furniture_and_Wood" TargetMode="External"/><Relationship Id="rId27" Type="http://schemas.openxmlformats.org/officeDocument/2006/relationships/hyperlink" Target="https://www.nedcc.org/free-resources/preservation-leaflets/3.-emergency-management/3.12-freezing-and-drying-wet-books-and-record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conservation-wiki.com/wiki/Stabilizing_Wet_Inorganic_Materials" TargetMode="External"/><Relationship Id="rId7" Type="http://schemas.openxmlformats.org/officeDocument/2006/relationships/hyperlink" Target="http://www.iccrom.org/wp-content/uploads/Guide-to-Risk-Managment_English.pdf" TargetMode="External"/><Relationship Id="rId8" Type="http://schemas.openxmlformats.org/officeDocument/2006/relationships/hyperlink" Target="http://www.culturalheritage.org/resources/emergencies/alliance-for-response-home" TargetMode="External"/><Relationship Id="rId31" Type="http://schemas.openxmlformats.org/officeDocument/2006/relationships/hyperlink" Target="http://www.conservation-wiki.com/wiki/Stabilizing_Wet_Paintings" TargetMode="External"/><Relationship Id="rId30" Type="http://schemas.openxmlformats.org/officeDocument/2006/relationships/hyperlink" Target="http://www.conservation-wiki.com/wiki/Stabilizing_Wet_Skin_and_Leather" TargetMode="External"/><Relationship Id="rId11" Type="http://schemas.openxmlformats.org/officeDocument/2006/relationships/hyperlink" Target="http://archivesalberta.org/programs-and-services/disaster-preparedness-and-recovery/how-to-videos" TargetMode="External"/><Relationship Id="rId33" Type="http://schemas.openxmlformats.org/officeDocument/2006/relationships/hyperlink" Target="https://www.nps.gov/museum/publications/conserveogram/21-06.pdf" TargetMode="External"/><Relationship Id="rId10" Type="http://schemas.openxmlformats.org/officeDocument/2006/relationships/hyperlink" Target="https://youtu.be/jiSCr4HaaN0" TargetMode="External"/><Relationship Id="rId32" Type="http://schemas.openxmlformats.org/officeDocument/2006/relationships/hyperlink" Target="https://www.nedcc.org/free-resources/preservation-leaflets/3.-emergency-management/3.7-emergency-salvage-of-wet-photographs" TargetMode="External"/><Relationship Id="rId13" Type="http://schemas.openxmlformats.org/officeDocument/2006/relationships/hyperlink" Target="http://www.conservation-wiki.com/wiki/Emergency_Preparedness_%26_Response" TargetMode="External"/><Relationship Id="rId35" Type="http://schemas.openxmlformats.org/officeDocument/2006/relationships/hyperlink" Target="http://publications.gc.ca/collections/collection_2016/pch/NM95-55-26-2004-eng.pdf" TargetMode="External"/><Relationship Id="rId12" Type="http://schemas.openxmlformats.org/officeDocument/2006/relationships/hyperlink" Target="https://www.nps.gov/museum/publications/conserveogram/cons_toc.html" TargetMode="External"/><Relationship Id="rId34" Type="http://schemas.openxmlformats.org/officeDocument/2006/relationships/hyperlink" Target="https://www.nedcc.org/assets/media/documents/Preservation%20Leaflets/3_10_pests_2018.pdf" TargetMode="External"/><Relationship Id="rId15" Type="http://schemas.openxmlformats.org/officeDocument/2006/relationships/hyperlink" Target="https://www.dplan.org/" TargetMode="External"/><Relationship Id="rId37" Type="http://schemas.openxmlformats.org/officeDocument/2006/relationships/hyperlink" Target="http://drum.lib.umd.edu/handle/1903/7824" TargetMode="External"/><Relationship Id="rId14" Type="http://schemas.openxmlformats.org/officeDocument/2006/relationships/hyperlink" Target="http://cool.conservation-us.org/bytopic/disasters/plans/" TargetMode="External"/><Relationship Id="rId36" Type="http://schemas.openxmlformats.org/officeDocument/2006/relationships/hyperlink" Target="https://www.nfpa.org/-/media/Files/News-and-Research/Fire-statistics-and-reports/Suppression/RFCulturalResources.ashx?la=en" TargetMode="External"/><Relationship Id="rId17" Type="http://schemas.openxmlformats.org/officeDocument/2006/relationships/hyperlink" Target="https://www.archives.gov/preservation/records-emergency" TargetMode="External"/><Relationship Id="rId39" Type="http://schemas.openxmlformats.org/officeDocument/2006/relationships/hyperlink" Target="https://www.polygongroup.com/en-US/services/document-recovery-solutions/" TargetMode="External"/><Relationship Id="rId16" Type="http://schemas.openxmlformats.org/officeDocument/2006/relationships/hyperlink" Target="http://www.loc.gov/preservation/emergprep/" TargetMode="External"/><Relationship Id="rId38" Type="http://schemas.openxmlformats.org/officeDocument/2006/relationships/hyperlink" Target="https://www.belfor.com/en/us" TargetMode="External"/><Relationship Id="rId19" Type="http://schemas.openxmlformats.org/officeDocument/2006/relationships/hyperlink" Target="http://www.museum-sos.org/htm/index.html" TargetMode="External"/><Relationship Id="rId18" Type="http://schemas.openxmlformats.org/officeDocument/2006/relationships/hyperlink" Target="https://www.nedcc.org/preservation101/session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ZF/81XH4suAIrlKB6GpFZ9iEg==">AMUW2mW5/KE36p9wrxIvhEy4VvaKmEukDR8GNa4/Kp0v+QWrUNwJ7QOOeWh95Ul8dyTYbIkxqAOb5tg7tlckNwEYYj//BuoPAV8aFWz6pYEcwbfZO0cN+Oi8p4s3tPYXoBwJlzoAMWT8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2019-05-20T16:20:00Z</dcterms:created>
  <dc:creator>Wagner, Katharine C.</dc:creator>
</cp:coreProperties>
</file>